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22DE2" w14:textId="77777777" w:rsidR="001C2134" w:rsidRPr="0027453F" w:rsidRDefault="001C2134" w:rsidP="001C2134">
      <w:pPr>
        <w:rPr>
          <w:rFonts w:cstheme="minorHAnsi"/>
          <w:b/>
          <w:bCs/>
          <w:color w:val="000000" w:themeColor="text1"/>
          <w:lang w:val="en-US"/>
        </w:rPr>
      </w:pPr>
      <w:r w:rsidRPr="0027453F">
        <w:rPr>
          <w:b/>
          <w:bCs/>
          <w:color w:val="000000" w:themeColor="text1"/>
          <w:lang w:val="en-US"/>
        </w:rPr>
        <w:t xml:space="preserve">Appendix 1: </w:t>
      </w:r>
      <w:r w:rsidRPr="0027453F">
        <w:rPr>
          <w:rFonts w:cstheme="minorHAnsi"/>
          <w:b/>
          <w:bCs/>
          <w:color w:val="000000" w:themeColor="text1"/>
          <w:lang w:val="en-US"/>
        </w:rPr>
        <w:t xml:space="preserve">Categorization of exposure groups according to their Anatomic Therapeutic Codes (ATC-codes) </w:t>
      </w:r>
    </w:p>
    <w:p w14:paraId="0E5707C4" w14:textId="77777777" w:rsidR="001C2134" w:rsidRPr="009F5AEB" w:rsidRDefault="001C2134" w:rsidP="001C2134">
      <w:pPr>
        <w:jc w:val="center"/>
        <w:rPr>
          <w:sz w:val="28"/>
          <w:szCs w:val="28"/>
          <w:lang w:val="en-US"/>
        </w:rPr>
      </w:pPr>
    </w:p>
    <w:p w14:paraId="3BD19F1A" w14:textId="77777777" w:rsidR="001C2134" w:rsidRPr="00B16A04" w:rsidRDefault="001C2134" w:rsidP="001C2134">
      <w:pPr>
        <w:pStyle w:val="Liststycke"/>
        <w:numPr>
          <w:ilvl w:val="0"/>
          <w:numId w:val="1"/>
        </w:numPr>
        <w:spacing w:line="480" w:lineRule="auto"/>
        <w:ind w:left="0"/>
        <w:jc w:val="both"/>
        <w:rPr>
          <w:rFonts w:cstheme="minorHAnsi"/>
          <w:u w:val="single"/>
          <w:lang w:val="en-US"/>
        </w:rPr>
      </w:pPr>
      <w:r w:rsidRPr="00B16A04">
        <w:rPr>
          <w:rFonts w:cstheme="minorHAnsi"/>
          <w:lang w:val="en-US"/>
        </w:rPr>
        <w:t>Women on local estrogens alone (estradiol/estriol) (ATC code</w:t>
      </w:r>
      <w:r>
        <w:rPr>
          <w:rFonts w:cstheme="minorHAnsi"/>
          <w:lang w:val="en-US"/>
        </w:rPr>
        <w:t>s</w:t>
      </w:r>
      <w:r w:rsidRPr="00B16A04">
        <w:rPr>
          <w:rFonts w:cstheme="minorHAnsi"/>
          <w:lang w:val="en-US"/>
        </w:rPr>
        <w:t xml:space="preserve"> G03CA03 or G03CA04)</w:t>
      </w:r>
      <w:r>
        <w:rPr>
          <w:rFonts w:cstheme="minorHAnsi"/>
          <w:lang w:val="en-US"/>
        </w:rPr>
        <w:t>.</w:t>
      </w:r>
    </w:p>
    <w:p w14:paraId="73D18B6C" w14:textId="77777777" w:rsidR="001C2134" w:rsidRPr="00B16A04" w:rsidRDefault="001C2134" w:rsidP="001C2134">
      <w:pPr>
        <w:pStyle w:val="Liststycke"/>
        <w:numPr>
          <w:ilvl w:val="0"/>
          <w:numId w:val="1"/>
        </w:numPr>
        <w:spacing w:line="480" w:lineRule="auto"/>
        <w:ind w:left="0"/>
        <w:jc w:val="both"/>
        <w:rPr>
          <w:rFonts w:cstheme="minorHAnsi"/>
          <w:lang w:val="en-US"/>
        </w:rPr>
      </w:pPr>
      <w:r w:rsidRPr="00B16A04">
        <w:rPr>
          <w:rFonts w:cstheme="minorHAnsi"/>
          <w:lang w:val="en-US"/>
        </w:rPr>
        <w:t>Women on systemic estrogens alone</w:t>
      </w:r>
      <w:r>
        <w:rPr>
          <w:rFonts w:cstheme="minorHAnsi"/>
          <w:lang w:val="en-US"/>
        </w:rPr>
        <w:t xml:space="preserve"> </w:t>
      </w:r>
      <w:r w:rsidRPr="00B16A04">
        <w:rPr>
          <w:rFonts w:cstheme="minorHAnsi"/>
          <w:lang w:val="en-US"/>
        </w:rPr>
        <w:t>(estradiol/estriol</w:t>
      </w:r>
      <w:r>
        <w:rPr>
          <w:rFonts w:cstheme="minorHAnsi"/>
          <w:lang w:val="en-US"/>
        </w:rPr>
        <w:t>/conjugated estrogens</w:t>
      </w:r>
      <w:r w:rsidRPr="00B16A04">
        <w:rPr>
          <w:rFonts w:cstheme="minorHAnsi"/>
          <w:lang w:val="en-US"/>
        </w:rPr>
        <w:t xml:space="preserve">), </w:t>
      </w:r>
      <w:proofErr w:type="spellStart"/>
      <w:r w:rsidRPr="00B16A04">
        <w:rPr>
          <w:rFonts w:cstheme="minorHAnsi"/>
          <w:lang w:val="en-US"/>
        </w:rPr>
        <w:t>transdermally</w:t>
      </w:r>
      <w:proofErr w:type="spellEnd"/>
      <w:r w:rsidRPr="00B16A04">
        <w:rPr>
          <w:rFonts w:cstheme="minorHAnsi"/>
          <w:lang w:val="en-US"/>
        </w:rPr>
        <w:t xml:space="preserve"> or orally</w:t>
      </w:r>
      <w:r>
        <w:rPr>
          <w:rFonts w:cstheme="minorHAnsi"/>
          <w:lang w:val="en-US"/>
        </w:rPr>
        <w:t>,</w:t>
      </w:r>
      <w:r w:rsidRPr="00B16A04">
        <w:rPr>
          <w:rFonts w:cstheme="minorHAnsi"/>
          <w:lang w:val="en-US"/>
        </w:rPr>
        <w:t xml:space="preserve"> without progestogens (ATC code</w:t>
      </w:r>
      <w:r>
        <w:rPr>
          <w:rFonts w:cstheme="minorHAnsi"/>
          <w:lang w:val="en-US"/>
        </w:rPr>
        <w:t>s</w:t>
      </w:r>
      <w:r w:rsidRPr="00B16A04">
        <w:rPr>
          <w:rFonts w:cstheme="minorHAnsi"/>
          <w:lang w:val="en-US"/>
        </w:rPr>
        <w:t xml:space="preserve"> G03CA</w:t>
      </w:r>
      <w:r>
        <w:rPr>
          <w:rFonts w:cstheme="minorHAnsi"/>
          <w:lang w:val="en-US"/>
        </w:rPr>
        <w:t>03,</w:t>
      </w:r>
      <w:r w:rsidRPr="00B16A04">
        <w:rPr>
          <w:rFonts w:cstheme="minorHAnsi"/>
          <w:lang w:val="en-US"/>
        </w:rPr>
        <w:t xml:space="preserve"> G03CA0</w:t>
      </w:r>
      <w:r>
        <w:rPr>
          <w:rFonts w:cstheme="minorHAnsi"/>
          <w:lang w:val="en-US"/>
        </w:rPr>
        <w:t xml:space="preserve">4 or </w:t>
      </w:r>
      <w:r w:rsidRPr="00B16A04">
        <w:rPr>
          <w:rFonts w:cstheme="minorHAnsi"/>
          <w:lang w:val="en-US"/>
        </w:rPr>
        <w:t>G03CA</w:t>
      </w:r>
      <w:r>
        <w:rPr>
          <w:rFonts w:cstheme="minorHAnsi"/>
          <w:lang w:val="en-US"/>
        </w:rPr>
        <w:t>57</w:t>
      </w:r>
      <w:r w:rsidRPr="00B16A04">
        <w:rPr>
          <w:rFonts w:cstheme="minorHAnsi"/>
          <w:lang w:val="en-US"/>
        </w:rPr>
        <w:t>).</w:t>
      </w:r>
    </w:p>
    <w:p w14:paraId="48DEAC6A" w14:textId="77777777" w:rsidR="001C2134" w:rsidRPr="00B16A04" w:rsidRDefault="001C2134" w:rsidP="001C2134">
      <w:pPr>
        <w:pStyle w:val="Liststycke"/>
        <w:numPr>
          <w:ilvl w:val="0"/>
          <w:numId w:val="1"/>
        </w:numPr>
        <w:spacing w:line="480" w:lineRule="auto"/>
        <w:ind w:left="0"/>
        <w:jc w:val="both"/>
        <w:rPr>
          <w:rFonts w:cstheme="minorHAnsi"/>
          <w:lang w:val="en-US"/>
        </w:rPr>
      </w:pPr>
      <w:r w:rsidRPr="00B16A04">
        <w:rPr>
          <w:rFonts w:cstheme="minorHAnsi"/>
          <w:lang w:val="en-US"/>
        </w:rPr>
        <w:t>Women on both estrogen AND progestogen either taken separately or combined, in a continuous or sequential manner. The estrogen preparations taken separately included transdermal or oral estradiol (ATC code G03CA03). The progestogens taken separately included hormonal IUD</w:t>
      </w:r>
      <w:r>
        <w:rPr>
          <w:rFonts w:cstheme="minorHAnsi"/>
          <w:lang w:val="en-US"/>
        </w:rPr>
        <w:t xml:space="preserve"> (levonorgestrel)</w:t>
      </w:r>
      <w:r w:rsidRPr="00B16A04">
        <w:rPr>
          <w:rFonts w:cstheme="minorHAnsi"/>
          <w:lang w:val="en-US"/>
        </w:rPr>
        <w:t xml:space="preserve"> (ATC code G02BA03), vaginal progesterone</w:t>
      </w:r>
      <w:r>
        <w:rPr>
          <w:rFonts w:cstheme="minorHAnsi"/>
          <w:lang w:val="en-US"/>
        </w:rPr>
        <w:t xml:space="preserve"> (progesterone/</w:t>
      </w:r>
      <w:proofErr w:type="spellStart"/>
      <w:r>
        <w:rPr>
          <w:rFonts w:cstheme="minorHAnsi"/>
          <w:lang w:val="en-US"/>
        </w:rPr>
        <w:t>dydrogesterone</w:t>
      </w:r>
      <w:proofErr w:type="spellEnd"/>
      <w:r>
        <w:rPr>
          <w:rFonts w:cstheme="minorHAnsi"/>
          <w:lang w:val="en-US"/>
        </w:rPr>
        <w:t>)</w:t>
      </w:r>
      <w:r w:rsidRPr="00B16A04">
        <w:rPr>
          <w:rFonts w:cstheme="minorHAnsi"/>
          <w:lang w:val="en-US"/>
        </w:rPr>
        <w:t xml:space="preserve"> (ATC code</w:t>
      </w:r>
      <w:r>
        <w:rPr>
          <w:rFonts w:cstheme="minorHAnsi"/>
          <w:lang w:val="en-US"/>
        </w:rPr>
        <w:t>s</w:t>
      </w:r>
      <w:r w:rsidRPr="00B16A04">
        <w:rPr>
          <w:rFonts w:cstheme="minorHAnsi"/>
          <w:lang w:val="en-US"/>
        </w:rPr>
        <w:t xml:space="preserve"> G03DA04 or G03DB01), transdermal synthetic progestin (norethisterone) (ATC code</w:t>
      </w:r>
      <w:r>
        <w:rPr>
          <w:rFonts w:cstheme="minorHAnsi"/>
          <w:lang w:val="en-US"/>
        </w:rPr>
        <w:t>s</w:t>
      </w:r>
      <w:r w:rsidRPr="00B16A04">
        <w:rPr>
          <w:rFonts w:cstheme="minorHAnsi"/>
          <w:lang w:val="en-US"/>
        </w:rPr>
        <w:t xml:space="preserve"> G03FA01 or G03FB05) or oral synthetic progestin </w:t>
      </w:r>
      <w:r>
        <w:rPr>
          <w:rFonts w:cstheme="minorHAnsi"/>
          <w:lang w:val="en-US"/>
        </w:rPr>
        <w:t>(</w:t>
      </w:r>
      <w:proofErr w:type="spellStart"/>
      <w:r>
        <w:rPr>
          <w:rFonts w:cstheme="minorHAnsi"/>
          <w:lang w:val="en-US"/>
        </w:rPr>
        <w:t>noretisterone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lynestrenol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medroxiprogesterone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etonogestrel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desogestrel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drosperinone</w:t>
      </w:r>
      <w:proofErr w:type="spellEnd"/>
      <w:r>
        <w:rPr>
          <w:rFonts w:cstheme="minorHAnsi"/>
          <w:lang w:val="en-US"/>
        </w:rPr>
        <w:t>)</w:t>
      </w:r>
      <w:r w:rsidRPr="00B16A04">
        <w:rPr>
          <w:rFonts w:cstheme="minorHAnsi"/>
          <w:lang w:val="en-US"/>
        </w:rPr>
        <w:t xml:space="preserve"> (ATC code</w:t>
      </w:r>
      <w:r>
        <w:rPr>
          <w:rFonts w:cstheme="minorHAnsi"/>
          <w:lang w:val="en-US"/>
        </w:rPr>
        <w:t>s</w:t>
      </w:r>
      <w:r w:rsidRPr="00B16A04">
        <w:rPr>
          <w:rFonts w:cstheme="minorHAnsi"/>
          <w:lang w:val="en-US"/>
        </w:rPr>
        <w:t xml:space="preserve"> G03AC, G03DA02, G03DB08, G03DC02 or G03DC03). The combined continuous or sequential preparations included oral medications or transdermal patches </w:t>
      </w:r>
      <w:r>
        <w:rPr>
          <w:rFonts w:cstheme="minorHAnsi"/>
          <w:lang w:val="en-US"/>
        </w:rPr>
        <w:t>(</w:t>
      </w:r>
      <w:proofErr w:type="spellStart"/>
      <w:r>
        <w:rPr>
          <w:rFonts w:cstheme="minorHAnsi"/>
          <w:lang w:val="en-US"/>
        </w:rPr>
        <w:t>ethinylestradiol</w:t>
      </w:r>
      <w:proofErr w:type="spellEnd"/>
      <w:r>
        <w:rPr>
          <w:rFonts w:cstheme="minorHAnsi"/>
          <w:lang w:val="en-US"/>
        </w:rPr>
        <w:t xml:space="preserve">/ 17 </w:t>
      </w:r>
      <w:r>
        <w:rPr>
          <w:rFonts w:cstheme="minorHAnsi"/>
          <w:lang w:val="el-GR"/>
        </w:rPr>
        <w:t>β</w:t>
      </w:r>
      <w:r w:rsidRPr="00D55EDA">
        <w:rPr>
          <w:rFonts w:cstheme="minorHAnsi"/>
          <w:lang w:val="en-US"/>
        </w:rPr>
        <w:t>-</w:t>
      </w:r>
      <w:r>
        <w:rPr>
          <w:rFonts w:cstheme="minorHAnsi"/>
          <w:lang w:val="en-US"/>
        </w:rPr>
        <w:t xml:space="preserve">estradiol/ conjugated estrogens/ estradiol valerate AND levonorgestrel/ </w:t>
      </w:r>
      <w:proofErr w:type="spellStart"/>
      <w:r>
        <w:rPr>
          <w:rFonts w:cstheme="minorHAnsi"/>
          <w:lang w:val="en-US"/>
        </w:rPr>
        <w:t>noretisterone</w:t>
      </w:r>
      <w:proofErr w:type="spellEnd"/>
      <w:r>
        <w:rPr>
          <w:rFonts w:cstheme="minorHAnsi"/>
          <w:lang w:val="en-US"/>
        </w:rPr>
        <w:t>/</w:t>
      </w:r>
      <w:r w:rsidRPr="00D55EDA"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medroxiprogesterone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dydrogesterone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dienogest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drosperinone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medrogestone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nomegestrol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norgestimate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norelgestromin</w:t>
      </w:r>
      <w:proofErr w:type="spellEnd"/>
      <w:r>
        <w:rPr>
          <w:rFonts w:cstheme="minorHAnsi"/>
          <w:lang w:val="en-US"/>
        </w:rPr>
        <w:t xml:space="preserve">) </w:t>
      </w:r>
      <w:r w:rsidRPr="00B16A04">
        <w:rPr>
          <w:rFonts w:cstheme="minorHAnsi"/>
          <w:lang w:val="en-US"/>
        </w:rPr>
        <w:t xml:space="preserve">(ATC </w:t>
      </w:r>
      <w:r w:rsidRPr="003F6A10">
        <w:rPr>
          <w:rFonts w:cstheme="minorHAnsi"/>
          <w:lang w:val="en-US"/>
        </w:rPr>
        <w:t>code</w:t>
      </w:r>
      <w:r>
        <w:rPr>
          <w:rFonts w:cstheme="minorHAnsi"/>
          <w:lang w:val="en-US"/>
        </w:rPr>
        <w:t>s</w:t>
      </w:r>
      <w:r w:rsidRPr="003F6A10">
        <w:rPr>
          <w:rFonts w:cstheme="minorHAnsi"/>
          <w:lang w:val="en-US"/>
        </w:rPr>
        <w:t xml:space="preserve"> G03AA, G03AB,</w:t>
      </w:r>
      <w:r w:rsidRPr="00B16A04">
        <w:rPr>
          <w:rFonts w:cstheme="minorHAnsi"/>
          <w:lang w:val="en-US"/>
        </w:rPr>
        <w:t xml:space="preserve"> G03CC07, G03FA01, G03FA12, G03FA14, G03FA15, G03FA17, G03FB05, G03FB06</w:t>
      </w:r>
      <w:r>
        <w:rPr>
          <w:rFonts w:cstheme="minorHAnsi"/>
          <w:lang w:val="en-US"/>
        </w:rPr>
        <w:t>,</w:t>
      </w:r>
      <w:r w:rsidRPr="00B16A04">
        <w:rPr>
          <w:rFonts w:cstheme="minorHAnsi"/>
          <w:lang w:val="en-US"/>
        </w:rPr>
        <w:t xml:space="preserve"> G03FB07</w:t>
      </w:r>
      <w:r w:rsidRPr="00D55EDA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or </w:t>
      </w:r>
      <w:r w:rsidRPr="00B16A04">
        <w:rPr>
          <w:rFonts w:cstheme="minorHAnsi"/>
          <w:lang w:val="en-US"/>
        </w:rPr>
        <w:t xml:space="preserve">G03FB08). </w:t>
      </w:r>
    </w:p>
    <w:p w14:paraId="218933DA" w14:textId="77777777" w:rsidR="001C2134" w:rsidRPr="00B16A04" w:rsidRDefault="001C2134" w:rsidP="001C2134">
      <w:pPr>
        <w:pStyle w:val="Liststycke"/>
        <w:numPr>
          <w:ilvl w:val="0"/>
          <w:numId w:val="1"/>
        </w:numPr>
        <w:spacing w:after="0" w:line="480" w:lineRule="auto"/>
        <w:ind w:left="0" w:hanging="357"/>
        <w:rPr>
          <w:rFonts w:cstheme="minorHAnsi"/>
          <w:lang w:val="en-US"/>
        </w:rPr>
      </w:pPr>
      <w:r w:rsidRPr="00B16A04">
        <w:rPr>
          <w:rFonts w:cstheme="minorHAnsi"/>
          <w:lang w:val="en-US"/>
        </w:rPr>
        <w:t>Women on progestogens alone</w:t>
      </w:r>
      <w:r w:rsidRPr="00105E86">
        <w:rPr>
          <w:rFonts w:cstheme="minorHAnsi"/>
          <w:lang w:val="en-US"/>
        </w:rPr>
        <w:t xml:space="preserve"> </w:t>
      </w:r>
      <w:r w:rsidRPr="00B16A04">
        <w:rPr>
          <w:rFonts w:cstheme="minorHAnsi"/>
          <w:lang w:val="en-US"/>
        </w:rPr>
        <w:t>without transdermal or oral estrogens; either hormonal IUD</w:t>
      </w:r>
      <w:r>
        <w:rPr>
          <w:rFonts w:cstheme="minorHAnsi"/>
          <w:lang w:val="en-US"/>
        </w:rPr>
        <w:t xml:space="preserve"> (levonorgestrel)</w:t>
      </w:r>
      <w:r w:rsidRPr="00B16A04">
        <w:rPr>
          <w:rFonts w:cstheme="minorHAnsi"/>
          <w:lang w:val="en-US"/>
        </w:rPr>
        <w:t xml:space="preserve"> (ATC code G02BA03)</w:t>
      </w:r>
      <w:r>
        <w:rPr>
          <w:rFonts w:cstheme="minorHAnsi"/>
          <w:lang w:val="en-US"/>
        </w:rPr>
        <w:t xml:space="preserve">, </w:t>
      </w:r>
      <w:r w:rsidRPr="00B16A04">
        <w:rPr>
          <w:rFonts w:cstheme="minorHAnsi"/>
          <w:lang w:val="en-US"/>
        </w:rPr>
        <w:t xml:space="preserve">bioidentical vaginal progesterone alone </w:t>
      </w:r>
      <w:r>
        <w:rPr>
          <w:rFonts w:cstheme="minorHAnsi"/>
          <w:lang w:val="en-US"/>
        </w:rPr>
        <w:t xml:space="preserve">(progesterone/ </w:t>
      </w:r>
      <w:proofErr w:type="spellStart"/>
      <w:r>
        <w:rPr>
          <w:rFonts w:cstheme="minorHAnsi"/>
          <w:lang w:val="en-US"/>
        </w:rPr>
        <w:t>dydrogesterone</w:t>
      </w:r>
      <w:proofErr w:type="spellEnd"/>
      <w:r>
        <w:rPr>
          <w:rFonts w:cstheme="minorHAnsi"/>
          <w:lang w:val="en-US"/>
        </w:rPr>
        <w:t>)</w:t>
      </w:r>
      <w:r w:rsidRPr="00B16A04">
        <w:rPr>
          <w:rFonts w:cstheme="minorHAnsi"/>
          <w:lang w:val="en-US"/>
        </w:rPr>
        <w:t xml:space="preserve"> (ATC code</w:t>
      </w:r>
      <w:r>
        <w:rPr>
          <w:rFonts w:cstheme="minorHAnsi"/>
          <w:lang w:val="en-US"/>
        </w:rPr>
        <w:t>s</w:t>
      </w:r>
      <w:r w:rsidRPr="00B16A04">
        <w:rPr>
          <w:rFonts w:cstheme="minorHAnsi"/>
          <w:lang w:val="en-US"/>
        </w:rPr>
        <w:t xml:space="preserve"> G03DA04 or G03DB01), oral synthetic progestins alone</w:t>
      </w:r>
      <w:r>
        <w:rPr>
          <w:rFonts w:cstheme="minorHAnsi"/>
          <w:lang w:val="en-US"/>
        </w:rPr>
        <w:t xml:space="preserve"> (</w:t>
      </w:r>
      <w:proofErr w:type="spellStart"/>
      <w:r>
        <w:rPr>
          <w:rFonts w:cstheme="minorHAnsi"/>
          <w:lang w:val="en-US"/>
        </w:rPr>
        <w:t>noretisterone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lynestrenol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medroxiprogesterone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etonogestrel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desogestrel</w:t>
      </w:r>
      <w:proofErr w:type="spellEnd"/>
      <w:r>
        <w:rPr>
          <w:rFonts w:cstheme="minorHAnsi"/>
          <w:lang w:val="en-US"/>
        </w:rPr>
        <w:t xml:space="preserve">/ </w:t>
      </w:r>
      <w:proofErr w:type="spellStart"/>
      <w:r>
        <w:rPr>
          <w:rFonts w:cstheme="minorHAnsi"/>
          <w:lang w:val="en-US"/>
        </w:rPr>
        <w:t>drosperinone</w:t>
      </w:r>
      <w:proofErr w:type="spellEnd"/>
      <w:r>
        <w:rPr>
          <w:rFonts w:cstheme="minorHAnsi"/>
          <w:lang w:val="en-US"/>
        </w:rPr>
        <w:t>)</w:t>
      </w:r>
      <w:r w:rsidRPr="00B16A04">
        <w:rPr>
          <w:rFonts w:cstheme="minorHAnsi"/>
          <w:lang w:val="en-US"/>
        </w:rPr>
        <w:t xml:space="preserve"> (ATC code</w:t>
      </w:r>
      <w:r>
        <w:rPr>
          <w:rFonts w:cstheme="minorHAnsi"/>
          <w:lang w:val="en-US"/>
        </w:rPr>
        <w:t>s</w:t>
      </w:r>
      <w:r w:rsidRPr="00B16A04">
        <w:rPr>
          <w:rFonts w:cstheme="minorHAnsi"/>
          <w:lang w:val="en-US"/>
        </w:rPr>
        <w:t xml:space="preserve"> G03AC, G03DB08, G03DA02, G03DC02 or G03DC03) or injectable progesterone alone (ATC code G03DA04).</w:t>
      </w:r>
    </w:p>
    <w:p w14:paraId="279707C4" w14:textId="77777777" w:rsidR="001C2134" w:rsidRPr="00C31893" w:rsidRDefault="001C2134" w:rsidP="001C2134">
      <w:pPr>
        <w:pStyle w:val="Liststycke"/>
        <w:numPr>
          <w:ilvl w:val="0"/>
          <w:numId w:val="1"/>
        </w:numPr>
        <w:spacing w:line="480" w:lineRule="auto"/>
        <w:ind w:left="0"/>
        <w:rPr>
          <w:lang w:val="en-US"/>
        </w:rPr>
      </w:pPr>
      <w:r w:rsidRPr="00B16A04">
        <w:rPr>
          <w:rFonts w:cstheme="minorHAnsi"/>
          <w:lang w:val="en-US"/>
        </w:rPr>
        <w:t>Women on tibolone alone (ATC code G03CX01).</w:t>
      </w:r>
    </w:p>
    <w:p w14:paraId="720D5DD6" w14:textId="77777777" w:rsidR="001C2134" w:rsidRDefault="001C2134">
      <w:pPr>
        <w:rPr>
          <w:i/>
          <w:iCs/>
          <w:color w:val="0070C0"/>
          <w:sz w:val="28"/>
          <w:szCs w:val="28"/>
          <w:lang w:val="en-US"/>
        </w:rPr>
      </w:pPr>
      <w:r>
        <w:rPr>
          <w:color w:val="0070C0"/>
          <w:sz w:val="28"/>
          <w:szCs w:val="28"/>
          <w:lang w:val="en-US"/>
        </w:rPr>
        <w:br w:type="page"/>
      </w:r>
    </w:p>
    <w:p w14:paraId="562DB983" w14:textId="74F05B4E" w:rsidR="009F5AEB" w:rsidRPr="001C2134" w:rsidRDefault="009F5AEB" w:rsidP="009F5AEB">
      <w:pPr>
        <w:pStyle w:val="Beskrivning"/>
        <w:keepNext/>
        <w:spacing w:after="0"/>
        <w:rPr>
          <w:b/>
          <w:bCs/>
          <w:i w:val="0"/>
          <w:iCs w:val="0"/>
          <w:color w:val="000000" w:themeColor="text1"/>
          <w:sz w:val="24"/>
          <w:szCs w:val="24"/>
          <w:lang w:val="en-US"/>
        </w:rPr>
      </w:pPr>
      <w:r w:rsidRPr="001C2134">
        <w:rPr>
          <w:b/>
          <w:bCs/>
          <w:i w:val="0"/>
          <w:iCs w:val="0"/>
          <w:color w:val="000000" w:themeColor="text1"/>
          <w:sz w:val="24"/>
          <w:szCs w:val="24"/>
          <w:lang w:val="en-US"/>
        </w:rPr>
        <w:lastRenderedPageBreak/>
        <w:t xml:space="preserve">Appendix 2: Comorbidities included in the </w:t>
      </w:r>
      <w:r w:rsidR="008B3983">
        <w:rPr>
          <w:b/>
          <w:bCs/>
          <w:i w:val="0"/>
          <w:iCs w:val="0"/>
          <w:color w:val="000000" w:themeColor="text1"/>
          <w:sz w:val="24"/>
          <w:szCs w:val="24"/>
          <w:lang w:val="en-US"/>
        </w:rPr>
        <w:t xml:space="preserve">modified </w:t>
      </w:r>
      <w:proofErr w:type="spellStart"/>
      <w:r w:rsidRPr="001C2134">
        <w:rPr>
          <w:b/>
          <w:bCs/>
          <w:i w:val="0"/>
          <w:iCs w:val="0"/>
          <w:color w:val="000000" w:themeColor="text1"/>
          <w:sz w:val="24"/>
          <w:szCs w:val="24"/>
          <w:lang w:val="en-US"/>
        </w:rPr>
        <w:t>Charlson</w:t>
      </w:r>
      <w:proofErr w:type="spellEnd"/>
      <w:r w:rsidRPr="001C2134">
        <w:rPr>
          <w:b/>
          <w:bCs/>
          <w:i w:val="0"/>
          <w:iCs w:val="0"/>
          <w:color w:val="000000" w:themeColor="text1"/>
          <w:sz w:val="24"/>
          <w:szCs w:val="24"/>
          <w:lang w:val="en-US"/>
        </w:rPr>
        <w:t xml:space="preserve"> Comorbidity </w:t>
      </w:r>
      <w:proofErr w:type="gramStart"/>
      <w:r w:rsidRPr="001C2134">
        <w:rPr>
          <w:b/>
          <w:bCs/>
          <w:i w:val="0"/>
          <w:iCs w:val="0"/>
          <w:color w:val="000000" w:themeColor="text1"/>
          <w:sz w:val="24"/>
          <w:szCs w:val="24"/>
          <w:lang w:val="en-US"/>
        </w:rPr>
        <w:t>Index(</w:t>
      </w:r>
      <w:proofErr w:type="gramEnd"/>
      <w:r w:rsidRPr="001C2134">
        <w:rPr>
          <w:b/>
          <w:bCs/>
          <w:i w:val="0"/>
          <w:iCs w:val="0"/>
          <w:color w:val="000000" w:themeColor="text1"/>
          <w:sz w:val="24"/>
          <w:szCs w:val="24"/>
          <w:lang w:val="en-US"/>
        </w:rPr>
        <w:t>CCI).</w:t>
      </w:r>
    </w:p>
    <w:p w14:paraId="7BAA7A96" w14:textId="77777777" w:rsidR="009F5AEB" w:rsidRDefault="009F5AEB">
      <w:pPr>
        <w:rPr>
          <w:lang w:val="en-US"/>
        </w:rPr>
      </w:pPr>
    </w:p>
    <w:tbl>
      <w:tblPr>
        <w:tblStyle w:val="Tabellrutntljust"/>
        <w:tblW w:w="0" w:type="auto"/>
        <w:tblLayout w:type="fixed"/>
        <w:tblLook w:val="0000" w:firstRow="0" w:lastRow="0" w:firstColumn="0" w:lastColumn="0" w:noHBand="0" w:noVBand="0"/>
      </w:tblPr>
      <w:tblGrid>
        <w:gridCol w:w="2328"/>
        <w:gridCol w:w="2328"/>
      </w:tblGrid>
      <w:tr w:rsidR="009F5AEB" w:rsidRPr="0012455D" w14:paraId="740E19D1" w14:textId="77777777" w:rsidTr="00DD56D9">
        <w:trPr>
          <w:trHeight w:val="71"/>
        </w:trPr>
        <w:tc>
          <w:tcPr>
            <w:tcW w:w="2328" w:type="dxa"/>
          </w:tcPr>
          <w:p w14:paraId="40FD4F49" w14:textId="7777777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Comorbidities </w:t>
            </w:r>
          </w:p>
        </w:tc>
        <w:tc>
          <w:tcPr>
            <w:tcW w:w="2328" w:type="dxa"/>
          </w:tcPr>
          <w:p w14:paraId="50D770C5" w14:textId="7777777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ICD-10 * </w:t>
            </w:r>
          </w:p>
        </w:tc>
      </w:tr>
      <w:tr w:rsidR="009F5AEB" w:rsidRPr="0012455D" w14:paraId="73A734AF" w14:textId="77777777" w:rsidTr="00DD56D9">
        <w:trPr>
          <w:trHeight w:val="77"/>
        </w:trPr>
        <w:tc>
          <w:tcPr>
            <w:tcW w:w="2328" w:type="dxa"/>
          </w:tcPr>
          <w:p w14:paraId="5C01687A" w14:textId="7777777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Myocardial infarction </w:t>
            </w:r>
          </w:p>
        </w:tc>
        <w:tc>
          <w:tcPr>
            <w:tcW w:w="2328" w:type="dxa"/>
          </w:tcPr>
          <w:p w14:paraId="3D11EC68" w14:textId="66683648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I21.x, I22.x </w:t>
            </w:r>
          </w:p>
        </w:tc>
      </w:tr>
      <w:tr w:rsidR="009F5AEB" w:rsidRPr="0012455D" w14:paraId="0A0AF9EB" w14:textId="77777777" w:rsidTr="00DD56D9">
        <w:trPr>
          <w:trHeight w:val="273"/>
        </w:trPr>
        <w:tc>
          <w:tcPr>
            <w:tcW w:w="2328" w:type="dxa"/>
          </w:tcPr>
          <w:p w14:paraId="709D14C8" w14:textId="7777777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Congestive heart failure </w:t>
            </w:r>
          </w:p>
        </w:tc>
        <w:tc>
          <w:tcPr>
            <w:tcW w:w="2328" w:type="dxa"/>
          </w:tcPr>
          <w:p w14:paraId="29A71630" w14:textId="181E74A1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I43.x, I50.x </w:t>
            </w:r>
          </w:p>
        </w:tc>
      </w:tr>
      <w:tr w:rsidR="009F5AEB" w:rsidRPr="0012455D" w14:paraId="61721594" w14:textId="77777777" w:rsidTr="00DD56D9">
        <w:trPr>
          <w:trHeight w:val="166"/>
        </w:trPr>
        <w:tc>
          <w:tcPr>
            <w:tcW w:w="2328" w:type="dxa"/>
          </w:tcPr>
          <w:p w14:paraId="40458FF1" w14:textId="7777777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9585D">
              <w:rPr>
                <w:rFonts w:cstheme="minorHAnsi"/>
                <w:color w:val="000000"/>
                <w:sz w:val="20"/>
                <w:szCs w:val="20"/>
              </w:rPr>
              <w:t>Chronic</w:t>
            </w:r>
            <w:proofErr w:type="spellEnd"/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585D">
              <w:rPr>
                <w:rFonts w:cstheme="minorHAnsi"/>
                <w:color w:val="000000"/>
                <w:sz w:val="20"/>
                <w:szCs w:val="20"/>
              </w:rPr>
              <w:t>pulmonary</w:t>
            </w:r>
            <w:proofErr w:type="spellEnd"/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47AFDAE1" w14:textId="7777777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disease </w:t>
            </w:r>
          </w:p>
        </w:tc>
        <w:tc>
          <w:tcPr>
            <w:tcW w:w="2328" w:type="dxa"/>
          </w:tcPr>
          <w:p w14:paraId="406CCAC5" w14:textId="0A2B4F7C" w:rsidR="00EE52C3" w:rsidRPr="0009585D" w:rsidRDefault="009F5AEB" w:rsidP="00EE52C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I27.8, I27.9, J40.x-J47.x, </w:t>
            </w:r>
          </w:p>
          <w:p w14:paraId="28ABCA06" w14:textId="636CFCFB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F5AEB" w:rsidRPr="0012455D" w14:paraId="14852B25" w14:textId="77777777" w:rsidTr="00DD56D9">
        <w:trPr>
          <w:trHeight w:val="338"/>
        </w:trPr>
        <w:tc>
          <w:tcPr>
            <w:tcW w:w="2328" w:type="dxa"/>
          </w:tcPr>
          <w:p w14:paraId="00DE8425" w14:textId="7777777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9585D">
              <w:rPr>
                <w:rFonts w:cstheme="minorHAnsi"/>
                <w:color w:val="000000"/>
                <w:sz w:val="20"/>
                <w:szCs w:val="20"/>
              </w:rPr>
              <w:t>Renal</w:t>
            </w:r>
            <w:proofErr w:type="spellEnd"/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585D">
              <w:rPr>
                <w:rFonts w:cstheme="minorHAnsi"/>
                <w:color w:val="000000"/>
                <w:sz w:val="20"/>
                <w:szCs w:val="20"/>
              </w:rPr>
              <w:t>disease</w:t>
            </w:r>
            <w:proofErr w:type="spellEnd"/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8" w:type="dxa"/>
          </w:tcPr>
          <w:p w14:paraId="19C9408E" w14:textId="48B139B8" w:rsidR="00EE52C3" w:rsidRPr="0009585D" w:rsidRDefault="009F5AEB" w:rsidP="00EE52C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N18.x, N19.x, </w:t>
            </w:r>
          </w:p>
          <w:p w14:paraId="58BE385D" w14:textId="3A950903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Z99.2 </w:t>
            </w:r>
          </w:p>
        </w:tc>
      </w:tr>
      <w:tr w:rsidR="009F5AEB" w:rsidRPr="0012455D" w14:paraId="5301302D" w14:textId="77777777" w:rsidTr="00DD56D9">
        <w:trPr>
          <w:trHeight w:val="356"/>
        </w:trPr>
        <w:tc>
          <w:tcPr>
            <w:tcW w:w="2328" w:type="dxa"/>
          </w:tcPr>
          <w:p w14:paraId="3F56FA30" w14:textId="6340FD49" w:rsidR="009F5AEB" w:rsidRPr="0009585D" w:rsidRDefault="00EE52C3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Cancer</w:t>
            </w:r>
            <w:r w:rsidR="009F5AEB" w:rsidRPr="0009585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8" w:type="dxa"/>
          </w:tcPr>
          <w:p w14:paraId="5F90A47C" w14:textId="1650EDCF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>C</w:t>
            </w:r>
            <w:r w:rsidR="00EE52C3">
              <w:rPr>
                <w:rFonts w:cstheme="minorHAnsi"/>
                <w:color w:val="000000"/>
                <w:sz w:val="20"/>
                <w:szCs w:val="20"/>
              </w:rPr>
              <w:t>50</w:t>
            </w: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.x-C58.x, </w:t>
            </w:r>
          </w:p>
          <w:p w14:paraId="4B0318C4" w14:textId="2ED0528C" w:rsidR="00EE52C3" w:rsidRPr="0009585D" w:rsidRDefault="009F5AEB" w:rsidP="00EE52C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27453F">
              <w:rPr>
                <w:rFonts w:cstheme="minorHAnsi"/>
                <w:color w:val="000000"/>
                <w:sz w:val="20"/>
                <w:szCs w:val="20"/>
                <w:lang w:val="en-US"/>
              </w:rPr>
              <w:t>C60.x-C</w:t>
            </w:r>
            <w:r w:rsidR="00EE52C3">
              <w:rPr>
                <w:rFonts w:cstheme="minorHAnsi"/>
                <w:color w:val="000000"/>
                <w:sz w:val="20"/>
                <w:szCs w:val="20"/>
                <w:lang w:val="en-US"/>
              </w:rPr>
              <w:t>63.x</w:t>
            </w:r>
          </w:p>
          <w:p w14:paraId="50D9EA5F" w14:textId="39BFDD97" w:rsidR="009F5AEB" w:rsidRPr="0009585D" w:rsidRDefault="009F5AEB" w:rsidP="00DD56D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9585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1BB50D4" w14:textId="77777777" w:rsidR="00D40D71" w:rsidRPr="00D40D71" w:rsidRDefault="00D40D71">
      <w:pPr>
        <w:rPr>
          <w:lang w:val="en-US"/>
        </w:rPr>
      </w:pPr>
    </w:p>
    <w:sectPr w:rsidR="00D40D71" w:rsidRPr="00D4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53606"/>
    <w:multiLevelType w:val="hybridMultilevel"/>
    <w:tmpl w:val="9F96E356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94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D71"/>
    <w:rsid w:val="000046D5"/>
    <w:rsid w:val="00011693"/>
    <w:rsid w:val="00013F9F"/>
    <w:rsid w:val="0003724C"/>
    <w:rsid w:val="000A70B5"/>
    <w:rsid w:val="0011013B"/>
    <w:rsid w:val="0011614A"/>
    <w:rsid w:val="00117E3A"/>
    <w:rsid w:val="001A2999"/>
    <w:rsid w:val="001C2134"/>
    <w:rsid w:val="002017A5"/>
    <w:rsid w:val="0027453F"/>
    <w:rsid w:val="002A14F7"/>
    <w:rsid w:val="002F4377"/>
    <w:rsid w:val="003B601C"/>
    <w:rsid w:val="003F2B3F"/>
    <w:rsid w:val="0043242C"/>
    <w:rsid w:val="0045701D"/>
    <w:rsid w:val="0048709F"/>
    <w:rsid w:val="00602AA7"/>
    <w:rsid w:val="00635517"/>
    <w:rsid w:val="006A3A22"/>
    <w:rsid w:val="006D470C"/>
    <w:rsid w:val="00700F12"/>
    <w:rsid w:val="00713FC7"/>
    <w:rsid w:val="007B7E5A"/>
    <w:rsid w:val="007C432D"/>
    <w:rsid w:val="008249D0"/>
    <w:rsid w:val="00855BEC"/>
    <w:rsid w:val="008902F9"/>
    <w:rsid w:val="008B3983"/>
    <w:rsid w:val="00990008"/>
    <w:rsid w:val="009F5AEB"/>
    <w:rsid w:val="009F5E70"/>
    <w:rsid w:val="00A409A7"/>
    <w:rsid w:val="00A65674"/>
    <w:rsid w:val="00AA2193"/>
    <w:rsid w:val="00B116ED"/>
    <w:rsid w:val="00B16A04"/>
    <w:rsid w:val="00B31202"/>
    <w:rsid w:val="00B955FA"/>
    <w:rsid w:val="00D40D71"/>
    <w:rsid w:val="00D63596"/>
    <w:rsid w:val="00E84992"/>
    <w:rsid w:val="00E9665D"/>
    <w:rsid w:val="00EE52C3"/>
    <w:rsid w:val="00F432DC"/>
    <w:rsid w:val="00F86778"/>
    <w:rsid w:val="00FB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75D779"/>
  <w15:chartTrackingRefBased/>
  <w15:docId w15:val="{C0E0D6CB-05DA-9A4F-9EB5-E9E26AB9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D40D7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sv-S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40D71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D40D71"/>
    <w:rPr>
      <w:sz w:val="20"/>
      <w:szCs w:val="20"/>
      <w:lang w:val="en-GB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D40D71"/>
    <w:rPr>
      <w:sz w:val="20"/>
      <w:szCs w:val="20"/>
      <w:lang w:val="en-GB"/>
    </w:rPr>
  </w:style>
  <w:style w:type="table" w:styleId="Tabellrutntljust">
    <w:name w:val="Grid Table Light"/>
    <w:basedOn w:val="Normaltabell"/>
    <w:uiPriority w:val="40"/>
    <w:rsid w:val="009F5AE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krivning">
    <w:name w:val="caption"/>
    <w:basedOn w:val="Normal"/>
    <w:next w:val="Normal"/>
    <w:uiPriority w:val="35"/>
    <w:unhideWhenUsed/>
    <w:qFormat/>
    <w:rsid w:val="009F5AEB"/>
    <w:pPr>
      <w:spacing w:after="200"/>
    </w:pPr>
    <w:rPr>
      <w:i/>
      <w:iCs/>
      <w:color w:val="44546A" w:themeColor="text2"/>
      <w:sz w:val="18"/>
      <w:szCs w:val="18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00F12"/>
    <w:rPr>
      <w:b/>
      <w:bCs/>
      <w:lang w:val="sv-SE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00F12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elenis</dc:creator>
  <cp:keywords/>
  <dc:description/>
  <cp:lastModifiedBy>evangelia elenis</cp:lastModifiedBy>
  <cp:revision>2</cp:revision>
  <dcterms:created xsi:type="dcterms:W3CDTF">2023-02-24T13:36:00Z</dcterms:created>
  <dcterms:modified xsi:type="dcterms:W3CDTF">2023-02-24T13:36:00Z</dcterms:modified>
</cp:coreProperties>
</file>